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Nimbus Roman No9 L" w:hAnsi="Nimbus Roman No9 L" w:eastAsia="黑体" w:cs="Nimbus Roman No9 L"/>
          <w:sz w:val="32"/>
          <w:szCs w:val="32"/>
          <w:lang w:eastAsia="zh-CN"/>
        </w:rPr>
      </w:pPr>
      <w:r>
        <w:rPr>
          <w:rFonts w:hint="default" w:ascii="Nimbus Roman No9 L" w:hAnsi="Nimbus Roman No9 L" w:eastAsia="黑体" w:cs="Nimbus Roman No9 L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Nimbus Roman No9 L" w:hAnsi="Nimbus Roman No9 L" w:eastAsia="方正小标宋简体" w:cs="Nimbus Roman No9 L"/>
          <w:sz w:val="52"/>
          <w:szCs w:val="52"/>
        </w:rPr>
      </w:pPr>
      <w:r>
        <w:rPr>
          <w:rFonts w:hint="default" w:ascii="Nimbus Roman No9 L" w:hAnsi="Nimbus Roman No9 L" w:eastAsia="方正小标宋简体" w:cs="Nimbus Roman No9 L"/>
          <w:sz w:val="52"/>
          <w:szCs w:val="52"/>
        </w:rPr>
        <w:t>专利侵权纠纷行政裁决规范化建设试点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Nimbus Roman No9 L" w:hAnsi="Nimbus Roman No9 L" w:eastAsia="方正小标宋简体" w:cs="Nimbus Roman No9 L"/>
          <w:sz w:val="52"/>
          <w:szCs w:val="52"/>
        </w:rPr>
      </w:pPr>
      <w:r>
        <w:rPr>
          <w:rFonts w:hint="default" w:ascii="Nimbus Roman No9 L" w:hAnsi="Nimbus Roman No9 L" w:eastAsia="方正小标宋简体" w:cs="Nimbus Roman No9 L"/>
          <w:sz w:val="52"/>
          <w:szCs w:val="52"/>
        </w:rPr>
        <w:t>申 报 书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textAlignment w:val="auto"/>
        <w:rPr>
          <w:rFonts w:hint="default" w:ascii="Nimbus Roman No9 L" w:hAnsi="Nimbus Roman No9 L" w:eastAsia="楷体_GB2312" w:cs="Nimbus Roman No9 L"/>
          <w:sz w:val="32"/>
          <w:szCs w:val="32"/>
        </w:rPr>
      </w:pPr>
      <w:r>
        <w:rPr>
          <w:rFonts w:hint="default" w:ascii="Nimbus Roman No9 L" w:hAnsi="Nimbus Roman No9 L" w:eastAsia="楷体_GB2312" w:cs="Nimbus Roman No9 L"/>
          <w:sz w:val="32"/>
          <w:szCs w:val="32"/>
        </w:rPr>
        <w:t>申报单位：</w:t>
      </w:r>
      <w:r>
        <w:rPr>
          <w:rFonts w:hint="default" w:ascii="Nimbus Roman No9 L" w:hAnsi="Nimbus Roman No9 L" w:eastAsia="楷体_GB2312" w:cs="Nimbus Roman No9 L"/>
          <w:sz w:val="32"/>
          <w:szCs w:val="32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eastAsia="zh-CN"/>
        </w:rPr>
      </w:pPr>
    </w:p>
    <w:p>
      <w:pPr>
        <w:adjustRightInd w:val="0"/>
        <w:spacing w:line="560" w:lineRule="exact"/>
        <w:jc w:val="center"/>
        <w:textAlignment w:val="baseline"/>
        <w:rPr>
          <w:rFonts w:hint="default" w:ascii="Nimbus Roman No9 L" w:hAnsi="Nimbus Roman No9 L" w:eastAsia="楷体_GB2312" w:cs="Nimbus Roman No9 L"/>
          <w:kern w:val="0"/>
          <w:sz w:val="32"/>
          <w:szCs w:val="32"/>
        </w:rPr>
      </w:pPr>
      <w:r>
        <w:rPr>
          <w:rFonts w:hint="default" w:ascii="Nimbus Roman No9 L" w:hAnsi="Nimbus Roman No9 L" w:eastAsia="楷体_GB2312" w:cs="Nimbus Roman No9 L"/>
          <w:kern w:val="0"/>
          <w:sz w:val="32"/>
          <w:szCs w:val="32"/>
        </w:rPr>
        <w:t xml:space="preserve">国家知识产权局 </w:t>
      </w:r>
      <w:r>
        <w:rPr>
          <w:rFonts w:hint="default" w:ascii="Nimbus Roman No9 L" w:hAnsi="Nimbus Roman No9 L" w:eastAsia="楷体_GB2312" w:cs="Nimbus Roman No9 L"/>
          <w:kern w:val="0"/>
          <w:sz w:val="32"/>
          <w:szCs w:val="32"/>
          <w:lang w:eastAsia="zh-CN"/>
        </w:rPr>
        <w:t>司法部</w:t>
      </w:r>
      <w:r>
        <w:rPr>
          <w:rFonts w:hint="default" w:ascii="Nimbus Roman No9 L" w:hAnsi="Nimbus Roman No9 L" w:eastAsia="楷体_GB2312" w:cs="Nimbus Roman No9 L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Nimbus Roman No9 L" w:hAnsi="Nimbus Roman No9 L" w:eastAsia="楷体_GB2312" w:cs="Nimbus Roman No9 L"/>
          <w:kern w:val="0"/>
          <w:sz w:val="32"/>
          <w:szCs w:val="32"/>
        </w:rPr>
        <w:t>编制</w:t>
      </w:r>
    </w:p>
    <w:p>
      <w:pPr>
        <w:adjustRightInd w:val="0"/>
        <w:spacing w:line="560" w:lineRule="exact"/>
        <w:jc w:val="center"/>
        <w:textAlignment w:val="baseline"/>
        <w:rPr>
          <w:rFonts w:hint="default" w:ascii="Nimbus Roman No9 L" w:hAnsi="Nimbus Roman No9 L" w:cs="Nimbus Roman No9 L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default" w:ascii="Nimbus Roman No9 L" w:hAnsi="Nimbus Roman No9 L" w:eastAsia="楷体_GB2312" w:cs="Nimbus Roman No9 L"/>
          <w:kern w:val="0"/>
          <w:sz w:val="32"/>
          <w:szCs w:val="32"/>
        </w:rPr>
        <w:t>年  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cs="Nimbus Roman No9 L"/>
        </w:rPr>
        <w:br w:type="page"/>
      </w:r>
      <w:r>
        <w:rPr>
          <w:rFonts w:hint="default" w:ascii="Nimbus Roman No9 L" w:hAnsi="Nimbus Roman No9 L" w:eastAsia="黑体" w:cs="Nimbus Roman No9 L"/>
          <w:sz w:val="32"/>
          <w:szCs w:val="32"/>
        </w:rPr>
        <w:t>一、基本信息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2835"/>
        <w:gridCol w:w="1587"/>
        <w:gridCol w:w="2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申报单位</w:t>
            </w:r>
          </w:p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（知识产权局）</w:t>
            </w:r>
          </w:p>
        </w:tc>
        <w:tc>
          <w:tcPr>
            <w:tcW w:w="7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负 责 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职    务</w:t>
            </w: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职    务</w:t>
            </w: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传真号码</w:t>
            </w: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邮    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邮    编</w:t>
            </w: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通信地址</w:t>
            </w:r>
          </w:p>
        </w:tc>
        <w:tc>
          <w:tcPr>
            <w:tcW w:w="7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二、工作基础和条件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3"/>
        <w:gridCol w:w="1298"/>
        <w:gridCol w:w="3260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3353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现有专利侵权纠纷行政裁决机构数量（个）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现有专利侵权纠纷行政裁决人员总数（人）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3353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201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年专利侵权纠纷裁决案件数量（件），其中作出行政裁决书（份）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201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—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202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"/>
              </w:rPr>
              <w:t>1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年入选全国典型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案例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的专利侵权纠纷案件数（件）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3353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现有口头审理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  <w:lang w:eastAsia="zh-CN"/>
              </w:rPr>
              <w:t>庭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数量（个）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201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—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202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"/>
              </w:rPr>
              <w:t>1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年专利侵权纠纷行政裁决软硬件资金投入（万元）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3353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201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—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202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"/>
              </w:rPr>
              <w:t>1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年每年开展专利侵权纠纷行政裁决集中培训  次数（场次）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201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—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202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"/>
              </w:rPr>
              <w:t>1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年每年开展普法宣传数（场次）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9072" w:type="dxa"/>
            <w:gridSpan w:val="4"/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（写明近年来专利侵权纠纷行政裁决工作开展情况，包括制度建设、软硬件保障、案件办理数量质量、人员队伍建设及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  <w:lang w:eastAsia="zh-CN"/>
              </w:rPr>
              <w:t>行政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司法衔接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  <w:lang w:eastAsia="zh-CN"/>
              </w:rPr>
              <w:t>情况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等，以及其他创新性举措。）</w:t>
            </w: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三、工作目标和思路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（写明专利侵权纠纷行政裁决规范化建设工作目标、思路以及拟采取的工作措施。）</w:t>
            </w: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四、工作进度与预期阶段成果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（列出试点工作的进度安排和预期阶段成果。试点时间为期两年，从</w:t>
            </w:r>
            <w:bookmarkStart w:id="0" w:name="_GoBack"/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</w:rPr>
              <w:t>2022年6月到2024年6月</w:t>
            </w:r>
            <w:bookmarkEnd w:id="0"/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。）</w:t>
            </w: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default" w:ascii="Nimbus Roman No9 L" w:hAnsi="Nimbus Roman No9 L" w:eastAsia="黑体" w:cs="Nimbus Roman No9 L"/>
        </w:rPr>
      </w:pPr>
      <w:r>
        <w:rPr>
          <w:rFonts w:hint="default" w:ascii="Nimbus Roman No9 L" w:hAnsi="Nimbus Roman No9 L" w:eastAsia="黑体" w:cs="Nimbus Roman No9 L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五、保障措施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8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（列出组织机构、资金、人才、软硬件等保障措施。）</w:t>
            </w: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黑体" w:cs="Nimbus Roman No9 L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sz w:val="32"/>
          <w:szCs w:val="32"/>
        </w:rPr>
        <w:t>六、申报单位意见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5" w:hRule="atLeast"/>
          <w:jc w:val="center"/>
        </w:trPr>
        <w:tc>
          <w:tcPr>
            <w:tcW w:w="88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</w:p>
          <w:p>
            <w:pPr>
              <w:spacing w:before="120" w:after="120"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>负责人（签字）：               单位（盖章）：</w:t>
            </w:r>
          </w:p>
          <w:p>
            <w:pPr>
              <w:spacing w:before="120" w:after="120"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sz w:val="28"/>
                <w:szCs w:val="28"/>
              </w:rPr>
              <w:t xml:space="preserve">                              年     月   日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方正小标宋简体" w:cs="Nimbus Roman No9 L"/>
          <w:w w:val="100"/>
          <w:kern w:val="2"/>
          <w:sz w:val="32"/>
          <w:szCs w:val="32"/>
        </w:rPr>
      </w:pPr>
    </w:p>
    <w:sectPr>
      <w:footerReference r:id="rId3" w:type="default"/>
      <w:pgSz w:w="11906" w:h="16838"/>
      <w:pgMar w:top="2155" w:right="1474" w:bottom="1985" w:left="1588" w:header="1418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